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  <w:ind w:left="0" w:firstLine="708"/>
        <w:jc w:val="both"/>
        <w:spacing w:after="0" w:line="240" w:lineRule="auto"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  <w:lang w:val="en-US"/>
        </w:rPr>
        <w:t xml:space="preserve">                                                               </w:t>
      </w:r>
      <w:r>
        <w:rPr>
          <w:sz w:val="18"/>
          <w:szCs w:val="18"/>
        </w:rPr>
        <w:t xml:space="preserve"> </w:t>
      </w:r>
      <w:r>
        <w:t xml:space="preserve">ПОЯСНИТЕЛЬНАЯ ЗАПИСКА</w:t>
      </w:r>
      <w:r>
        <w:rPr>
          <w:sz w:val="18"/>
          <w:szCs w:val="18"/>
          <w:highlight w:val="none"/>
        </w:rPr>
      </w:r>
      <w:r/>
    </w:p>
    <w:p>
      <w:pPr>
        <w:pStyle w:val="921"/>
        <w:ind w:left="0" w:firstLine="708"/>
        <w:jc w:val="center"/>
        <w:spacing w:after="0" w:line="24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358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6-20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в марте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года.</w:t>
      </w:r>
      <w:r>
        <w:rPr>
          <w:sz w:val="28"/>
          <w:szCs w:val="28"/>
        </w:rPr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3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 №</w:t>
      </w:r>
      <w:r>
        <w:rPr>
          <w:sz w:val="28"/>
          <w:szCs w:val="28"/>
        </w:rPr>
        <w:t xml:space="preserve"> 358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7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 </w:t>
      </w:r>
      <w:r>
        <w:rPr>
          <w:sz w:val="28"/>
          <w:szCs w:val="28"/>
        </w:rPr>
        <w:t xml:space="preserve">по прочим </w:t>
      </w:r>
      <w:r>
        <w:rPr>
          <w:sz w:val="28"/>
          <w:szCs w:val="28"/>
        </w:rPr>
        <w:t xml:space="preserve">доходам Колыванского района  в том числе платных услуг казенных учреждений – МКУ «Колыванский краеведческий музей»  на сумму  45,6 тысяч рублей (бюджетные ассигнования распределены в расходной части бюджета, согласно заявке руководителя).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согласно  заявкам и ходатайствам руководителей учреждений , в том числе осуществлены внутренние перераспределения бюджетных ассигнования, связанных с организацией и проведением летнего отдыха детей по разделу «Образование» на сумму  4285,9 тысяч рублей.</w:t>
      </w:r>
      <w:r/>
    </w:p>
    <w:p>
      <w:pPr>
        <w:pStyle w:val="912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2025 год </w:t>
      </w:r>
      <w:r>
        <w:rPr>
          <w:sz w:val="28"/>
          <w:szCs w:val="28"/>
        </w:rPr>
        <w:t xml:space="preserve">составит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</w:rPr>
        <w:t xml:space="preserve">2 329 787,2</w:t>
      </w:r>
      <w:r>
        <w:rPr>
          <w:b w:val="0"/>
          <w:bCs w:val="0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тысяч рублей ,  в плановом периоде без изменений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2025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sz w:val="28"/>
          <w:szCs w:val="28"/>
        </w:rPr>
        <w:t xml:space="preserve"> 2 372 983,5 тысяч рублей</w:t>
      </w:r>
      <w:r>
        <w:rPr>
          <w:bCs/>
          <w:sz w:val="28"/>
          <w:szCs w:val="28"/>
        </w:rPr>
        <w:t xml:space="preserve">,  в плановом периоде без изменений</w:t>
      </w:r>
      <w:r>
        <w:rPr>
          <w:bCs/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2025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43196,3  тысяч рублей</w:t>
      </w:r>
      <w:r>
        <w:rPr>
          <w:bCs/>
          <w:sz w:val="28"/>
          <w:szCs w:val="28"/>
        </w:rPr>
        <w:t xml:space="preserve">, что  не превышает предельно допустимые значения, согласно требованиям бюджетного законодательства.</w:t>
      </w:r>
      <w:r>
        <w:rPr>
          <w:bCs/>
          <w:sz w:val="28"/>
          <w:szCs w:val="28"/>
        </w:rPr>
        <w:t xml:space="preserve"> В плановом периоде 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Задолженность по долговым обязательствам муниципального образования Колыванского района Новосибирской  области  находится в пределах допустимых значений соглано требованиям бюджетного законодательства.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  <w:t xml:space="preserve">на 2025 год и плановый период 2026-2027.</w:t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768"/>
        <w:tblW w:w="0" w:type="auto"/>
        <w:tblLayout w:type="fixed"/>
        <w:tblLook w:val="04A0" w:firstRow="1" w:lastRow="0" w:firstColumn="1" w:lastColumn="0" w:noHBand="0" w:noVBand="1"/>
      </w:tblPr>
      <w:tblGrid>
        <w:gridCol w:w="2295"/>
        <w:gridCol w:w="5500"/>
        <w:gridCol w:w="1984"/>
        <w:gridCol w:w="2126"/>
        <w:gridCol w:w="2693"/>
      </w:tblGrid>
      <w:tr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                                   </w:t>
            </w:r>
            <w:r>
              <w:t xml:space="preserve">(тыс.руб.</w:t>
            </w:r>
            <w:r>
              <w:t xml:space="preserve">)</w:t>
            </w:r>
            <w:r/>
          </w:p>
        </w:tc>
      </w:tr>
    </w:tbl>
    <w:tbl>
      <w:tblPr>
        <w:tblStyle w:val="768"/>
        <w:tblW w:w="0" w:type="auto"/>
        <w:tblLayout w:type="fixed"/>
        <w:tblLook w:val="04A0" w:firstRow="1" w:lastRow="0" w:firstColumn="1" w:lastColumn="0" w:noHBand="0" w:noVBand="1"/>
      </w:tblPr>
      <w:tblGrid>
        <w:gridCol w:w="2295"/>
        <w:gridCol w:w="4365"/>
        <w:gridCol w:w="2843"/>
        <w:gridCol w:w="2268"/>
        <w:gridCol w:w="2835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Код вида дохода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Наименование групп, подгрупп,  статей доходов, подстатей, элементов, кодов подвидов 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2026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2027 год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Налоговые доходы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387 845,90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353 089,40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382 593,50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287 416,70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246 952,40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267 403,50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287 416,70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246 952,40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267 403,50</w:t>
            </w:r>
            <w:r/>
          </w:p>
        </w:tc>
      </w:tr>
      <w:tr>
        <w:trPr>
          <w:trHeight w:val="38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t xml:space="preserve">1</w:t>
            </w:r>
            <w:r>
              <w:t xml:space="preserve"> и 228 Налогового кодекса Российской Федерации, а также доходов от долевого участия в </w:t>
            </w:r>
            <w:r>
              <w:t xml:space="preserve"> организации, полученных физическим лицом - налоговым резидентом Российской Федерации в виде дивидендов (в части суммы налога, не превышающей  650 тысяч рублей за налоговые периоды  до 1 января 2025 года, а также в части суммы налога, не превышающей 312 ты</w:t>
            </w:r>
            <w:r>
              <w:t xml:space="preserve"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283 711,00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242 965,10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263 101,20</w:t>
            </w:r>
            <w:r/>
          </w:p>
        </w:tc>
      </w:tr>
      <w:tr>
        <w:trPr>
          <w:trHeight w:val="19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000 101 02040 01 1000 110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</w:t>
            </w:r>
            <w:r>
              <w:t xml:space="preserve">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61,40</w:t>
            </w:r>
            <w:r/>
          </w:p>
        </w:tc>
      </w:tr>
      <w:tr>
        <w:trPr>
          <w:trHeight w:val="79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000 101 02080 01 1000 110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</w:t>
            </w:r>
            <w:r>
              <w:t xml:space="preserve">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                               лицом - налоговым резиде</w:t>
            </w:r>
            <w:r>
              <w:t xml:space="preserve">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</w:t>
            </w:r>
            <w:r>
              <w:t xml:space="preserve">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r>
              <w:t xml:space="preserve">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</w:t>
            </w:r>
            <w:r>
              <w:t xml:space="preserve">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</w:t>
            </w:r>
            <w:r>
              <w:t xml:space="preserve">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                                              1 января 2025 года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3 652,80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3 930,40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4 240,90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8 508,00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8 845,00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12 210,00</w:t>
            </w:r>
            <w:r/>
          </w:p>
        </w:tc>
      </w:tr>
      <w:tr>
        <w:trPr>
          <w:trHeight w:val="5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000 103 02000 01 0000 110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8 508,00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8 845,00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12 210,00</w:t>
            </w:r>
            <w:r/>
          </w:p>
        </w:tc>
      </w:tr>
      <w:tr>
        <w:trPr>
          <w:trHeight w:val="20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000 103 02231 01 0000 110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4 151,60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4 396,20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6 106,90</w:t>
            </w:r>
            <w:r/>
          </w:p>
        </w:tc>
      </w:tr>
      <w:tr>
        <w:trPr>
          <w:trHeight w:val="22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000 103 02241 01 0000 110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37,10</w:t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000 103 02251 01 0000 110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4 825,00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4 928,30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6 719,70</w:t>
            </w:r>
            <w:r/>
          </w:p>
        </w:tc>
      </w:tr>
      <w:tr>
        <w:trPr>
          <w:trHeight w:val="20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000 103 02261 01 0000 110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-495,70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-507,00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-653,70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74 604,00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79 916,00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85 545,00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70 448,00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75 590,00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81 033,00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000 105 01011 01 1000 110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50 448,00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55 590,00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61 033,00</w:t>
            </w:r>
            <w:r/>
          </w:p>
        </w:tc>
      </w:tr>
      <w:tr>
        <w:trPr>
          <w:trHeight w:val="15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000 105 01021 01 1000 110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</w:t>
            </w:r>
            <w: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000 105 03000 00 0000 110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000 105 03010 01 1000 110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000 105 04000 00 0000 110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4 156,00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4 512,00</w:t>
            </w:r>
            <w:r/>
          </w:p>
        </w:tc>
      </w:tr>
      <w:tr>
        <w:trPr>
          <w:trHeight w:val="11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000 105 04020 02 1000 110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4 156,00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4 512,00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12 569,30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12 628,10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12 687,10</w:t>
            </w:r>
            <w:r/>
          </w:p>
        </w:tc>
      </w:tr>
      <w:tr>
        <w:trPr>
          <w:trHeight w:val="3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000 106 04000 02 0000 110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12 569,30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12 628,10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12 687,10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000 106 04011 02 1000 110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1 421,30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1 475,40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1 531,00</w:t>
            </w:r>
            <w:r/>
          </w:p>
        </w:tc>
      </w:tr>
      <w:tr>
        <w:trPr>
          <w:trHeight w:val="10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000 106 04012 02 1000 110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11 148,00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11 152,70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11 156,10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000 108 00000 00 0000 000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</w:tr>
      <w:tr>
        <w:trPr>
          <w:trHeight w:val="7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000 108 03010 01 0000 110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</w:tr>
      <w:tr>
        <w:trPr>
          <w:trHeight w:val="4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22814+45,6=  22859,6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21 906,80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21 812,30</w:t>
            </w:r>
            <w:r/>
          </w:p>
        </w:tc>
      </w:tr>
      <w:tr>
        <w:trPr>
          <w:trHeight w:val="5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8 086,90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8 083,40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7 907,90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000 111 05013 05 0000 120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</w:t>
            </w:r>
            <w: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7 130,30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7 130,30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7 054,80</w:t>
            </w:r>
            <w:r/>
          </w:p>
        </w:tc>
      </w:tr>
      <w:tr>
        <w:trPr>
          <w:trHeight w:val="13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000 111 05013 13 0000 120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</w:t>
            </w:r>
            <w: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000 111 05025 05 0000 120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000 111 05035 05 0000 120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224,60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221,10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221,10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при пользовании природными ресурсами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</w:tr>
      <w:tr>
        <w:trPr>
          <w:trHeight w:val="10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000 112 01010 01 6000 120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000 112 01041 01 6000 120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4589,3+45,6=4634,9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3 707,40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3 948,90</w:t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000 113 01995 05 0012 130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700+45,6=745,6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800,00</w:t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000 113 01995 05 0013 130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"Единая дежурная диспечерская служба»)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000 113 01995 05 0014 130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2 140,00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2 290,00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2 442,00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000 113 01995 05 0015 130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1 154,30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517,40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551,90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000 113 02065 05 0000 130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155,00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000 114 00000 00 0000 000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</w:tr>
      <w:tr>
        <w:trPr>
          <w:trHeight w:val="16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000 114 02053 05 0000 410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реализации иного имущества, находящ</w:t>
            </w:r>
            <w: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1 468,00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1 446,20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1 285,70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000 116 01053 01 0000 140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</w:t>
            </w:r>
            <w: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000 116 01063 01 0000 140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6 Кодекса Российской Федерации об админ</w:t>
            </w:r>
            <w: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000 116 01073 01 0000 140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</w:t>
            </w:r>
            <w: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000 116 01083 01 0000 140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</w:t>
            </w:r>
            <w: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000 116 01133 01 0000 140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</w:t>
            </w:r>
            <w:r>
              <w:t xml:space="preserve">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000 116 01143 01 0000 140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14 Кодекса Российско</w:t>
            </w:r>
            <w: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000 116 01193 01 0000 140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</w:t>
            </w:r>
            <w: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</w:tr>
      <w:tr>
        <w:trPr>
          <w:trHeight w:val="162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000 116 01203 01 0000 140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</w:t>
            </w:r>
            <w: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000 116 07010 05 0000 140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498,20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337,70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000 116 07090 05 0000 140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30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000 116 11050 01 0000 140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по искам о возмещении вреда, причиненного окружающей среде, а также платежи, уплачи</w:t>
            </w:r>
            <w:r>
              <w:t xml:space="preserve">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 атмосферному воздух</w:t>
            </w:r>
            <w: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</w:tr>
      <w:tr>
        <w:trPr>
          <w:trHeight w:val="5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Всего доходов налоговых и неналоговых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 410659,9+45,6=  410705,5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374 996,20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404 405,80</w:t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200 000 00000 00 0000 000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Безвозмездные поступления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1 919 081,80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1 392 446,50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1 503 765,10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Дотация  бюджетам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103 884,30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60 909,90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66 132,70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000 202 15001 05 0000 150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Дотации бюджетам муниципальных районов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103 884,30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60 909,90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66 132,70</w:t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785 358,70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207 105,40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196 640,20</w:t>
            </w:r>
            <w:r/>
          </w:p>
        </w:tc>
      </w:tr>
      <w:tr>
        <w:trPr>
          <w:trHeight w:val="12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83 316,50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48 979,60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15 830,10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6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</w:t>
            </w:r>
            <w:r>
              <w:t xml:space="preserve">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28 266,10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7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000 202 20216 05 0000 150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</w:t>
            </w:r>
            <w: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151 817,80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34 041,80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39 219,50</w:t>
            </w:r>
            <w:r/>
          </w:p>
        </w:tc>
      </w:tr>
      <w:tr>
        <w:trPr>
          <w:trHeight w:val="10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000 202 25154 05 0000 150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коммунальной инфраструктуры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76 033,00</w:t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000 202 25304 05 0000 150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бесплатного горячего питани</w:t>
            </w:r>
            <w: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17 366,70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18 060,00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18 782,20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000 202 25467 05 0000 150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1 178,60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1 344,30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1 246,40</w:t>
            </w:r>
            <w:r/>
          </w:p>
        </w:tc>
      </w:tr>
      <w:tr>
        <w:trPr>
          <w:trHeight w:val="12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000 202 25519 05 0000 150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289,70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290,10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285,80</w:t>
            </w:r>
            <w:r/>
          </w:p>
        </w:tc>
      </w:tr>
      <w:tr>
        <w:trPr>
          <w:trHeight w:val="13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000 202 25527 05 0000 150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</w:tr>
      <w:tr>
        <w:trPr>
          <w:trHeight w:val="12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000 202 25750 05 0000 150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53 116,30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</w:t>
            </w:r>
            <w:r>
              <w:t xml:space="preserve">я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16 500,00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</w:t>
            </w:r>
            <w: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осуществление полномочий по организации регулярных</w:t>
            </w:r>
            <w: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23 805,30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30 781,30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30 781,30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жилыми помещениями многодетных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15 400,00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9 800,00</w:t>
            </w:r>
            <w:r/>
          </w:p>
        </w:tc>
      </w:tr>
      <w:tr>
        <w:trPr>
          <w:trHeight w:val="19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подготовке  градостроительной документации и (или)</w:t>
            </w:r>
            <w: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12 875,20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0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396 744,70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обустройство (создание</w:t>
            </w:r>
            <w:r>
              <w:t xml:space="preserve">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1476,00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966 121,10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1 058 840,60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1 177 000,70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359 364,10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394 082,40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425 475,00</w:t>
            </w:r>
            <w:r/>
          </w:p>
        </w:tc>
      </w:tr>
      <w:tr>
        <w:trPr>
          <w:trHeight w:val="14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18 808,60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18 539,20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18 539,20</w:t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2 322,00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1 879,00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1 879,00</w:t>
            </w:r>
            <w:r/>
          </w:p>
        </w:tc>
      </w:tr>
      <w:tr>
        <w:trPr>
          <w:trHeight w:val="11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57 887,50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67 508,80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68 768,30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59 820,80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65 148,80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70 601,60</w:t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</w:tr>
      <w:tr>
        <w:trPr>
          <w:trHeight w:val="10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100 761,30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69 930,20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75 572,30</w:t>
            </w:r>
            <w:r/>
          </w:p>
        </w:tc>
      </w:tr>
      <w:tr>
        <w:trPr>
          <w:trHeight w:val="3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получения образования обучающими</w:t>
            </w:r>
            <w:r>
              <w:t xml:space="preserve">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</w:t>
            </w:r>
            <w:r>
              <w:t xml:space="preserve">с тяжелыми нарушениями речи, с нарушениями опорно-двигательного аппарата, с задержкой психического развития, с умственной осталостью,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144 846,40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149 410,20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156 980,60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149 326,90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169 407,90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187 882,20</w:t>
            </w:r>
            <w:r/>
          </w:p>
        </w:tc>
      </w:tr>
      <w:tr>
        <w:trPr>
          <w:trHeight w:val="14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</w:t>
            </w:r>
            <w:r>
              <w:t xml:space="preserve"> на осуществление отдельных государственных полномочий Новосибирской области поосуществлению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</w:t>
            </w:r>
            <w:r>
              <w:t xml:space="preserve">мочий Новосибирской области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9 910,20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8 918,60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7 729,80</w:t>
            </w:r>
            <w:r/>
          </w:p>
        </w:tc>
      </w:tr>
      <w:tr>
        <w:trPr>
          <w:trHeight w:val="136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331,70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3 648,20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1 990,00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000 202 35082 05 0000 150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пообеспечению жилыми помещениями детей-сирот и детей, оставшихся без попечения родителей, лиц 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55 337,30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102 527,40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153 650,10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000 202 35118 05 0000 150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полномочий  по первичному воинскому учету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3 971,20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4 344,00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4 500,00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000 202 35120 05 0000 150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11,80</w:t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00020240000000000150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63 717,70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65 590,60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63 991,50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000 202 40014 05 0000 150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</w:tr>
      <w:tr>
        <w:trPr>
          <w:trHeight w:val="27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000 202 4505005 0000 150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</w:t>
            </w:r>
            <w:r>
              <w:t xml:space="preserve">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000 202 4517905 0000 150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000 202 45303 05 0000 150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ежемесячное денежное вознагражде</w:t>
            </w:r>
            <w: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42 841,00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43 403,40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43 403,40</w:t>
            </w:r>
            <w:r/>
          </w:p>
        </w:tc>
      </w:tr>
      <w:tr>
        <w:trPr>
          <w:trHeight w:val="18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проезда детей и совершеннолетних граждан-сопро</w:t>
            </w:r>
            <w: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8 005,30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11 969,20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10 370,10</w:t>
            </w:r>
            <w:r/>
          </w:p>
        </w:tc>
      </w:tr>
      <w:tr>
        <w:trPr>
          <w:trHeight w:val="136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2 653,40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Итого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3" w:type="dxa"/>
            <w:textDirection w:val="lrTb"/>
            <w:noWrap w:val="false"/>
          </w:tcPr>
          <w:p>
            <w:r>
              <w:t xml:space="preserve"> 2 329 741,66+45,55  =2 329 787,2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r>
              <w:t xml:space="preserve">1 767 442,70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1 908 170,90</w:t>
            </w:r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Изменение  бюджетных ассигнований бюджета Колыванского района по разделам, подразделам, целевым статьям (муниципальным программ и непрограммным направлениям деятельности) группам и подгруппам видов расходов классификации расходов бюджета на 2025 год</w:t>
      </w:r>
      <w:r>
        <w:rPr>
          <w:sz w:val="28"/>
          <w:szCs w:val="28"/>
        </w:rPr>
        <w:t xml:space="preserve">.</w:t>
      </w:r>
      <w:r/>
    </w:p>
    <w:tbl>
      <w:tblPr>
        <w:tblStyle w:val="768"/>
        <w:tblW w:w="0" w:type="auto"/>
        <w:tblLayout w:type="fixed"/>
        <w:tblLook w:val="04A0" w:firstRow="1" w:lastRow="0" w:firstColumn="1" w:lastColumn="0" w:noHBand="0" w:noVBand="1"/>
      </w:tblPr>
      <w:tblGrid>
        <w:gridCol w:w="3967"/>
        <w:gridCol w:w="501"/>
        <w:gridCol w:w="538"/>
        <w:gridCol w:w="1442"/>
        <w:gridCol w:w="555"/>
        <w:gridCol w:w="1132"/>
        <w:gridCol w:w="1429"/>
        <w:gridCol w:w="1485"/>
        <w:gridCol w:w="3565"/>
        <w:gridCol w:w="57"/>
      </w:tblGrid>
      <w:tr>
        <w:trPr>
          <w:gridAfter w:val="1"/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vMerge w:val="restart"/>
            <w:textDirection w:val="lrTb"/>
            <w:noWrap w:val="false"/>
          </w:tcPr>
          <w:p>
            <w:r>
              <w:t xml:space="preserve">Наименование</w:t>
            </w:r>
            <w:r/>
          </w:p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Merge w:val="restart"/>
            <w:textDirection w:val="lrTb"/>
            <w:noWrap w:val="false"/>
          </w:tcPr>
          <w:p>
            <w:r>
              <w:t xml:space="preserve">РЗ</w:t>
            </w:r>
            <w:r/>
          </w:p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vMerge w:val="restart"/>
            <w:textDirection w:val="lrTb"/>
            <w:noWrap w:val="false"/>
          </w:tcPr>
          <w:p>
            <w:r>
              <w:t xml:space="preserve">ПР</w:t>
            </w:r>
            <w:r/>
          </w:p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vMerge w:val="restart"/>
            <w:textDirection w:val="lrTb"/>
            <w:noWrap w:val="false"/>
          </w:tcPr>
          <w:p>
            <w:r>
              <w:t xml:space="preserve">ЦСР</w:t>
            </w:r>
            <w:r/>
          </w:p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Merge w:val="restart"/>
            <w:textDirection w:val="lrTb"/>
            <w:noWrap w:val="false"/>
          </w:tcPr>
          <w:p>
            <w:r>
              <w:t xml:space="preserve">ВР</w:t>
            </w:r>
            <w:r/>
          </w:p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Сумма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242439,3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242439,3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3 928,1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3 928,1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функционирования высшего должностного лица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3 928,1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3 928,1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3 278,9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3 278,9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421,3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2 857,6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2 857,6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72731,9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72731,9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63296,8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63296,8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56524,8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56524,8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6134,6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6134,6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637,4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637,4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Создание и осуществление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2 322,0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2 322,0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1 857,6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1 857,6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464,4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464,4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3 158,4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3 158,4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2 725,4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2 725,4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433,0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8,7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0,1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446,9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446,9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426,9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132,3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131,3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3 365,6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3 365,6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3 070,0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3 070,0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295,6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4 203,2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4 203,2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3 413,0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3 413,0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3 404,0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3 404,0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функций по внутреннему контролю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790,2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790,2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719,0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719,0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71,2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3 422,5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3 422,5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3 422,5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3 422,5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5 621,9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5 621,9</w:t>
            </w:r>
            <w:r>
              <w:t xml:space="preserve"> 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5 621,9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5 621,9</w:t>
            </w:r>
            <w:r>
              <w:t xml:space="preserve"> 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149240,5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149240,5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41067,3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41067,3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35007,1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35007,1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6001,9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6001,9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58,3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2900070610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2900070610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29000S0610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10,1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29000S0610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10,1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530,0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530,0</w:t>
            </w:r>
            <w:r/>
          </w:p>
        </w:tc>
      </w:tr>
      <w:tr>
        <w:trPr>
          <w:gridAfter w:val="1"/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74 908,2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74 908,2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70 804,8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70 804,8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4 078,4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4 078,4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Прочие расходы по отдельным (разовым) решениям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10 757,7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10 757,7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10 757,7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10 757,7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21 347,4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21 347,4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21 347,4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21 347,4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3 971,2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11 735,5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11 735,5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11 735,5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11 735,5</w:t>
            </w:r>
            <w:r/>
          </w:p>
        </w:tc>
      </w:tr>
      <w:tr>
        <w:trPr>
          <w:gridAfter w:val="1"/>
          <w:trHeight w:val="20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Осуществление мероприятий в рамках реализации муниципальной программы "Организация и осуществление мероприятий в области </w:t>
            </w:r>
            <w:r>
              <w:t xml:space="preserve">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1800011010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1800011010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11 635,5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11 635,5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8 891,2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8 891,2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2 744,3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2 744,3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295068,4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295068,4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2 931,6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2 931,6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в рамках муниципальной программы "Развитие сельского хозяйства и регулирование сельскохозяйственных рынков сырья и продовольствия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1900012020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Премии и гранты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1900012020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2 831,6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2 831,6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2 831,6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2 831,6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1800070870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1800070870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83 316,5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11 906,1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11 906,1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11 665,4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11 665,4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11 665,4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11 665,4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189,7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189,7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178811,2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178811,2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200009Д050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24524,8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24524,8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200009Д050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24524,8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24524,8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200009Д160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151 817,8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151 817,8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200009Д160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151 817,8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151 817,8</w:t>
            </w:r>
            <w:r/>
          </w:p>
        </w:tc>
      </w:tr>
      <w:tr>
        <w:trPr>
          <w:gridAfter w:val="1"/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20000SД160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2468,6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20000SД160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2468,6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18 103,0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18 103,0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мероприятий, предусмотренных муниципальной программой "Развитие субъектов малого и среднего предпринимательства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293,4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243,4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404,4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404,4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404,4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404,4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6,6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02000S0690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6,6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4 314,0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4 314,0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4 314,0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4 314,0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12 875,2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12 875,2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12 875,2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12 875,2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209,4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209,4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135831,0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135831,0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79264,1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79264,1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53,8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53,8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47472,3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47472,3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282,1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282,1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47190,2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47190,2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15400,0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15400,0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15 830,1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15 830,1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15 830,1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15 830,1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250,5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250,5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257,4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257,4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26341,1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26341,1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0400013200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402,0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0400013200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402,0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1865,0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165,0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18 778,6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18 778,6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5 214,4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5 214,4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13 564,2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13 564,2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48,2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48,2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220,6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220,6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220,6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220,6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Благоустройство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1 500,0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1 476,0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1 476,0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1 476,0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1 476,0</w:t>
            </w:r>
            <w:r/>
          </w:p>
        </w:tc>
      </w:tr>
      <w:tr>
        <w:trPr>
          <w:gridAfter w:val="1"/>
          <w:trHeight w:val="28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28725,8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28725,8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28266,1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28266,1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28266,1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28266,1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к субсидии на 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459,7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459,7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459,7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459,7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Муниципальная программа "Экология и охрана окружающей среды в Колыванском районе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17.0.00.00000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</w:tr>
      <w:tr>
        <w:trPr>
          <w:gridAfter w:val="1"/>
          <w:trHeight w:val="8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3667,5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1222540,9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1222540,9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252847,6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252847,6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3 600,0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3 600,0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1636,7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1636,7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1636,7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1636,7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1 702,0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1 702,0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1 702,0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1 702,0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58,6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664,8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664,8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664,8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664,8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32 919,3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32 919,3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32 919,3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32 919,3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149 326,9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149 326,9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149 326,9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149 326,9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62 939,3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62 939,3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62 939,3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62 939,3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843993,4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843993,4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12 900,0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12 900,0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12 900,0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12 900,0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4801,3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4801,3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4501,3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4501,3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1 187,0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1 187,0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1 187,0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1 187,0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3 418,0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3 418,0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3 418,0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18 143,8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18 143,8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18 143,8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18 143,8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96143,1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96143,1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96143,1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96143,1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359 364,1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359 364,1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359 364,1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359 364,1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получения образования обучающими</w:t>
            </w:r>
            <w:r>
              <w:t xml:space="preserve">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слабослышащих,позднооглохших, слепых, слабовидящих, с</w:t>
            </w:r>
            <w:r>
              <w:t xml:space="preserve">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144 846,4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144 846,4</w:t>
            </w:r>
            <w:r/>
          </w:p>
        </w:tc>
      </w:tr>
      <w:tr>
        <w:trPr>
          <w:gridAfter w:val="1"/>
          <w:trHeight w:val="31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144 846,4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144 846,4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135 902,4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135 902,4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135 902,4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135 902,4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17 649,1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17 649,1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17 649,1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17 649,1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1 968,6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1 968,6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1 968,6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1 968,6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4 536,6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4 536,6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4 536,6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4 536,6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41 247,4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41 247,4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41 247,4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41 247,4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990Ю6А0500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82,0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990Ю6А0500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82,0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990Ю6А3030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1 593,6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1 593,6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990Ю6А3030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1 593,6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1 593,6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115432,4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115432,4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130,5</w:t>
            </w:r>
            <w:r/>
          </w:p>
        </w:tc>
      </w:tr>
      <w:tr>
        <w:trPr>
          <w:gridAfter w:val="1"/>
          <w:trHeight w:val="93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130,5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1 646,2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1 646,2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18,7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1 590,1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1 590,1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36547,5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36547,5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36547,5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36547,5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76998,2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76998,2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13598,6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13598,6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63399,6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63399,6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0800015400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0800015400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10 155,0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10 155,0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1 941,6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1 941,6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1 941,6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1 941,6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От</w:t>
            </w:r>
            <w:r>
              <w:t xml:space="preserve">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7 802,4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7 802,4</w:t>
            </w:r>
            <w:r/>
          </w:p>
        </w:tc>
      </w:tr>
      <w:tr>
        <w:trPr>
          <w:gridAfter w:val="1"/>
          <w:trHeight w:val="15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4217,3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4 217,3</w:t>
            </w:r>
            <w:r>
              <w:t xml:space="preserve"> 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7 802,4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>
              <w:t xml:space="preserve">4217,3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3 585,1</w:t>
            </w:r>
            <w:r>
              <w:t xml:space="preserve"> 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126,9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68,6</w:t>
            </w:r>
            <w:r>
              <w:t xml:space="preserve"> 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>
              <w:t xml:space="preserve">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58,3</w:t>
            </w:r>
            <w:r>
              <w:t xml:space="preserve"> 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1100015430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1100015430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2700015800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2700015800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</w:t>
            </w:r>
            <w:r>
              <w:t xml:space="preserve">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126807,6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45,6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126853,2</w:t>
            </w:r>
            <w:r/>
          </w:p>
        </w:tc>
      </w:tr>
      <w:tr>
        <w:trPr>
          <w:gridAfter w:val="1"/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126807,6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45,6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126853,2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340,0</w:t>
            </w:r>
            <w:r/>
          </w:p>
        </w:tc>
      </w:tr>
      <w:tr>
        <w:trPr>
          <w:gridAfter w:val="1"/>
          <w:trHeight w:val="3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1 197,8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1 197,8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1 197,8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1 197,8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294,5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10000L5190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294,5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10 181,7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10 181,7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10 181,7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10 181,7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16 896,8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45,6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16 942,4</w:t>
            </w:r>
            <w:r>
              <w:t xml:space="preserve"> 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15 446,1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15 446,1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728,7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45,6 (ПД)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774,3</w:t>
            </w:r>
            <w:r>
              <w:t xml:space="preserve"> 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38187,2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38187,2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34 753,9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34 753,9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2935,9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2935,9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497,4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59 689,6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59 689,6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25 925,6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25 925,6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33 764,0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33 764,0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145412,4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145412,4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2 715,7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64 667,7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64 667,7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56 662,4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56 662,4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56 662,4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56 662,4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990Я451630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8 005,3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8 005,3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990Я451630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8 005,3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8 005,3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5 731,9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5 731,9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03000L4979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2 746,8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2 746,8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03000L4979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2 746,8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2 746,8</w:t>
            </w:r>
            <w:r/>
          </w:p>
        </w:tc>
      </w:tr>
      <w:tr>
        <w:trPr>
          <w:gridAfter w:val="1"/>
          <w:trHeight w:val="45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331,7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331,7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331,7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331,7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по улучшению жилищных условий граждан, проживающих на сельских территориях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99000L5761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2 653,4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2 653,4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99000L5761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2 653,4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2 653,4</w:t>
            </w:r>
            <w:r/>
          </w:p>
        </w:tc>
      </w:tr>
      <w:tr>
        <w:trPr>
          <w:gridAfter w:val="1"/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72297,1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72297,1</w:t>
            </w:r>
            <w:r/>
          </w:p>
        </w:tc>
      </w:tr>
      <w:tr>
        <w:trPr>
          <w:gridAfter w:val="1"/>
          <w:trHeight w:val="48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Предоставление гражданам, имеющих трех и более детей, в том числе принятых тпод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9 910,2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9 910,2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9 910,2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9 910,2</w:t>
            </w:r>
            <w:r/>
          </w:p>
        </w:tc>
      </w:tr>
      <w:tr>
        <w:trPr>
          <w:gridAfter w:val="1"/>
          <w:trHeight w:val="67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9900071229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7865,0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7865,0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7865,0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7865,0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9910000000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14 557,0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14 557,0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9910070289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14 557,0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14 557,0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9920000000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32 025,7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32 025,7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9920070289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32 025,7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32 025,7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9930000000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7 939,2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7 939,2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9930070289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7 939,2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7 939,2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62869,9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62869,9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38538,2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38538,2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0900018100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0900018100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580,0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37958,2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37958,2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29 847,4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29 847,4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3968,8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3968,8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4 142,0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4 142,0</w:t>
            </w:r>
            <w:r/>
          </w:p>
        </w:tc>
      </w:tr>
      <w:tr>
        <w:trPr>
          <w:gridAfter w:val="1"/>
          <w:trHeight w:val="93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24331,7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24331,7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210,7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210,7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0500070510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4 954,2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4 954,2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4 954,2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4 954,2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19 096,8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19 096,8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19 096,8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19 096,8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ОБСЛУЖИВАНИЕ ГОСУДАРСТВЕННОГО (МУНИЦИПАЛЬНОГО)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9977,8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9977,8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Обслуживание государственного (муниципального) внутреннего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9977,8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9977,8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4 817,5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4 817,5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5160,3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5160,3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5160,3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5160,3</w:t>
            </w:r>
            <w:r/>
          </w:p>
        </w:tc>
      </w:tr>
      <w:tr>
        <w:trPr>
          <w:gridAfter w:val="1"/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112616,4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112616,4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Дотации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100 761,3</w:t>
            </w:r>
            <w:r/>
          </w:p>
        </w:tc>
      </w:tr>
      <w:tr>
        <w:trPr>
          <w:gridAfter w:val="1"/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11855,1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11855,1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gridAfter w:val="1"/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7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2" w:type="dxa"/>
            <w:textDirection w:val="lrTb"/>
            <w:noWrap w:val="false"/>
          </w:tcPr>
          <w:p>
            <w: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678,1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678,1</w:t>
            </w:r>
            <w:r>
              <w:t xml:space="preserve"> </w:t>
            </w:r>
            <w:r/>
          </w:p>
        </w:tc>
      </w:tr>
      <w:tr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02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textDirection w:val="lrTb"/>
            <w:noWrap w:val="false"/>
          </w:tcPr>
          <w:p>
            <w:r>
              <w:t xml:space="preserve">9900010060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678,1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 </w:t>
            </w:r>
            <w:r/>
          </w:p>
        </w:tc>
      </w:tr>
      <w:tr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02" w:type="dxa"/>
            <w:vMerge w:val="restart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Merge w:val="restart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vMerge w:val="restart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Merge w:val="restart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11157,0</w:t>
            </w:r>
            <w:r/>
          </w:p>
        </w:tc>
      </w:tr>
      <w:tr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02" w:type="dxa"/>
            <w:vMerge w:val="restart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Merge w:val="restart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vMerge w:val="restart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Merge w:val="restart"/>
            <w:textDirection w:val="lrTb"/>
            <w:noWrap w:val="false"/>
          </w:tcPr>
          <w:p>
            <w:r>
              <w:t xml:space="preserve">9900070510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vMerge w:val="restart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11157,0</w:t>
            </w:r>
            <w:r/>
          </w:p>
        </w:tc>
      </w:tr>
      <w:tr>
        <w:trPr>
          <w:gridAfter w:val="1"/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02" w:type="dxa"/>
            <w:vMerge w:val="restart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Merge w:val="restart"/>
            <w:textDirection w:val="lrTb"/>
            <w:noWrap w:val="false"/>
          </w:tcPr>
          <w:p>
            <w:r>
              <w:t xml:space="preserve">2372937,9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vMerge w:val="restart"/>
            <w:textDirection w:val="lrTb"/>
            <w:noWrap w:val="false"/>
          </w:tcPr>
          <w:p>
            <w:r>
              <w:t xml:space="preserve">45,6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vMerge w:val="restart"/>
            <w:textDirection w:val="lrTb"/>
            <w:noWrap w:val="false"/>
          </w:tcPr>
          <w:p>
            <w:r>
              <w:t xml:space="preserve">2372983,5</w:t>
            </w:r>
            <w:r/>
          </w:p>
        </w:tc>
      </w:tr>
      <w:tr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0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9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12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</w:rPr>
            </w:r>
            <w:r/>
          </w:p>
        </w:tc>
      </w:tr>
    </w:tbl>
    <w:p>
      <w:pPr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2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2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2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2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2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2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2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2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2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2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2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2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2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2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2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2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520" w:hanging="2160"/>
        <w:tabs>
          <w:tab w:val="num" w:pos="2520" w:leader="none"/>
        </w:tabs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4">
    <w:name w:val="Heading 1"/>
    <w:basedOn w:val="912"/>
    <w:next w:val="912"/>
    <w:link w:val="7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rPr>
      <w:rFonts w:ascii="Arial" w:hAnsi="Arial" w:eastAsia="Arial" w:cs="Arial"/>
      <w:sz w:val="40"/>
      <w:szCs w:val="40"/>
    </w:rPr>
  </w:style>
  <w:style w:type="paragraph" w:styleId="736">
    <w:name w:val="Heading 2"/>
    <w:basedOn w:val="912"/>
    <w:next w:val="912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rPr>
      <w:rFonts w:ascii="Arial" w:hAnsi="Arial" w:eastAsia="Arial" w:cs="Arial"/>
      <w:sz w:val="34"/>
    </w:rPr>
  </w:style>
  <w:style w:type="paragraph" w:styleId="738">
    <w:name w:val="Heading 3"/>
    <w:basedOn w:val="912"/>
    <w:next w:val="912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12"/>
    <w:next w:val="912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2"/>
    <w:next w:val="912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2"/>
    <w:next w:val="912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2"/>
    <w:next w:val="912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2"/>
    <w:next w:val="912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2"/>
    <w:next w:val="912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52">
    <w:name w:val="List Paragraph"/>
    <w:basedOn w:val="912"/>
    <w:uiPriority w:val="34"/>
    <w:qFormat/>
    <w:pPr>
      <w:contextualSpacing/>
      <w:ind w:left="720"/>
    </w:pPr>
  </w:style>
  <w:style w:type="paragraph" w:styleId="753">
    <w:name w:val="No Spacing"/>
    <w:uiPriority w:val="1"/>
    <w:qFormat/>
    <w:pPr>
      <w:spacing w:before="0" w:after="0" w:line="240" w:lineRule="auto"/>
    </w:pPr>
  </w:style>
  <w:style w:type="paragraph" w:styleId="754">
    <w:name w:val="Title"/>
    <w:basedOn w:val="912"/>
    <w:next w:val="912"/>
    <w:link w:val="7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5">
    <w:name w:val="Title Char"/>
    <w:link w:val="754"/>
    <w:uiPriority w:val="10"/>
    <w:rPr>
      <w:sz w:val="48"/>
      <w:szCs w:val="48"/>
    </w:rPr>
  </w:style>
  <w:style w:type="paragraph" w:styleId="756">
    <w:name w:val="Subtitle"/>
    <w:basedOn w:val="912"/>
    <w:next w:val="912"/>
    <w:link w:val="757"/>
    <w:uiPriority w:val="11"/>
    <w:qFormat/>
    <w:pPr>
      <w:spacing w:before="200" w:after="200"/>
    </w:pPr>
    <w:rPr>
      <w:sz w:val="24"/>
      <w:szCs w:val="24"/>
    </w:rPr>
  </w:style>
  <w:style w:type="character" w:styleId="757">
    <w:name w:val="Subtitle Char"/>
    <w:link w:val="756"/>
    <w:uiPriority w:val="11"/>
    <w:rPr>
      <w:sz w:val="24"/>
      <w:szCs w:val="24"/>
    </w:rPr>
  </w:style>
  <w:style w:type="paragraph" w:styleId="758">
    <w:name w:val="Quote"/>
    <w:basedOn w:val="912"/>
    <w:next w:val="912"/>
    <w:link w:val="759"/>
    <w:uiPriority w:val="29"/>
    <w:qFormat/>
    <w:pPr>
      <w:ind w:left="720" w:right="720"/>
    </w:pPr>
    <w:rPr>
      <w:i/>
    </w:r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912"/>
    <w:next w:val="912"/>
    <w:link w:val="7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>
    <w:name w:val="Intense Quote Char"/>
    <w:link w:val="760"/>
    <w:uiPriority w:val="30"/>
    <w:rPr>
      <w:i/>
    </w:rPr>
  </w:style>
  <w:style w:type="paragraph" w:styleId="762">
    <w:name w:val="Header"/>
    <w:basedOn w:val="912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3">
    <w:name w:val="Header Char"/>
    <w:link w:val="762"/>
    <w:uiPriority w:val="99"/>
  </w:style>
  <w:style w:type="paragraph" w:styleId="764">
    <w:name w:val="Footer"/>
    <w:basedOn w:val="912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5">
    <w:name w:val="Footer Char"/>
    <w:link w:val="764"/>
    <w:uiPriority w:val="99"/>
  </w:style>
  <w:style w:type="paragraph" w:styleId="766">
    <w:name w:val="Caption"/>
    <w:basedOn w:val="912"/>
    <w:next w:val="9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7">
    <w:name w:val="Caption Char"/>
    <w:basedOn w:val="766"/>
    <w:link w:val="764"/>
    <w:uiPriority w:val="99"/>
  </w:style>
  <w:style w:type="table" w:styleId="7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Hyperlink"/>
    <w:uiPriority w:val="99"/>
    <w:unhideWhenUsed/>
    <w:rPr>
      <w:color w:val="0000ff" w:themeColor="hyperlink"/>
      <w:u w:val="single"/>
    </w:rPr>
  </w:style>
  <w:style w:type="paragraph" w:styleId="895">
    <w:name w:val="footnote text"/>
    <w:basedOn w:val="912"/>
    <w:link w:val="896"/>
    <w:uiPriority w:val="99"/>
    <w:semiHidden/>
    <w:unhideWhenUsed/>
    <w:pPr>
      <w:spacing w:after="40" w:line="240" w:lineRule="auto"/>
    </w:pPr>
    <w:rPr>
      <w:sz w:val="18"/>
    </w:rPr>
  </w:style>
  <w:style w:type="character" w:styleId="896">
    <w:name w:val="Footnote Text Char"/>
    <w:link w:val="895"/>
    <w:uiPriority w:val="99"/>
    <w:rPr>
      <w:sz w:val="18"/>
    </w:rPr>
  </w:style>
  <w:style w:type="character" w:styleId="897">
    <w:name w:val="footnote reference"/>
    <w:uiPriority w:val="99"/>
    <w:unhideWhenUsed/>
    <w:rPr>
      <w:vertAlign w:val="superscript"/>
    </w:rPr>
  </w:style>
  <w:style w:type="paragraph" w:styleId="898">
    <w:name w:val="endnote text"/>
    <w:basedOn w:val="912"/>
    <w:link w:val="899"/>
    <w:uiPriority w:val="99"/>
    <w:semiHidden/>
    <w:unhideWhenUsed/>
    <w:pPr>
      <w:spacing w:after="0" w:line="240" w:lineRule="auto"/>
    </w:pPr>
    <w:rPr>
      <w:sz w:val="20"/>
    </w:rPr>
  </w:style>
  <w:style w:type="character" w:styleId="899">
    <w:name w:val="Endnote Text Char"/>
    <w:link w:val="898"/>
    <w:uiPriority w:val="99"/>
    <w:rPr>
      <w:sz w:val="20"/>
    </w:rPr>
  </w:style>
  <w:style w:type="character" w:styleId="900">
    <w:name w:val="endnote reference"/>
    <w:uiPriority w:val="99"/>
    <w:semiHidden/>
    <w:unhideWhenUsed/>
    <w:rPr>
      <w:vertAlign w:val="superscript"/>
    </w:rPr>
  </w:style>
  <w:style w:type="paragraph" w:styleId="901">
    <w:name w:val="toc 1"/>
    <w:basedOn w:val="912"/>
    <w:next w:val="912"/>
    <w:uiPriority w:val="39"/>
    <w:unhideWhenUsed/>
    <w:pPr>
      <w:ind w:left="0" w:right="0" w:firstLine="0"/>
      <w:spacing w:after="57"/>
    </w:pPr>
  </w:style>
  <w:style w:type="paragraph" w:styleId="902">
    <w:name w:val="toc 2"/>
    <w:basedOn w:val="912"/>
    <w:next w:val="912"/>
    <w:uiPriority w:val="39"/>
    <w:unhideWhenUsed/>
    <w:pPr>
      <w:ind w:left="283" w:right="0" w:firstLine="0"/>
      <w:spacing w:after="57"/>
    </w:pPr>
  </w:style>
  <w:style w:type="paragraph" w:styleId="903">
    <w:name w:val="toc 3"/>
    <w:basedOn w:val="912"/>
    <w:next w:val="912"/>
    <w:uiPriority w:val="39"/>
    <w:unhideWhenUsed/>
    <w:pPr>
      <w:ind w:left="567" w:right="0" w:firstLine="0"/>
      <w:spacing w:after="57"/>
    </w:pPr>
  </w:style>
  <w:style w:type="paragraph" w:styleId="904">
    <w:name w:val="toc 4"/>
    <w:basedOn w:val="912"/>
    <w:next w:val="912"/>
    <w:uiPriority w:val="39"/>
    <w:unhideWhenUsed/>
    <w:pPr>
      <w:ind w:left="850" w:right="0" w:firstLine="0"/>
      <w:spacing w:after="57"/>
    </w:pPr>
  </w:style>
  <w:style w:type="paragraph" w:styleId="905">
    <w:name w:val="toc 5"/>
    <w:basedOn w:val="912"/>
    <w:next w:val="912"/>
    <w:uiPriority w:val="39"/>
    <w:unhideWhenUsed/>
    <w:pPr>
      <w:ind w:left="1134" w:right="0" w:firstLine="0"/>
      <w:spacing w:after="57"/>
    </w:pPr>
  </w:style>
  <w:style w:type="paragraph" w:styleId="906">
    <w:name w:val="toc 6"/>
    <w:basedOn w:val="912"/>
    <w:next w:val="912"/>
    <w:uiPriority w:val="39"/>
    <w:unhideWhenUsed/>
    <w:pPr>
      <w:ind w:left="1417" w:right="0" w:firstLine="0"/>
      <w:spacing w:after="57"/>
    </w:pPr>
  </w:style>
  <w:style w:type="paragraph" w:styleId="907">
    <w:name w:val="toc 7"/>
    <w:basedOn w:val="912"/>
    <w:next w:val="912"/>
    <w:uiPriority w:val="39"/>
    <w:unhideWhenUsed/>
    <w:pPr>
      <w:ind w:left="1701" w:right="0" w:firstLine="0"/>
      <w:spacing w:after="57"/>
    </w:pPr>
  </w:style>
  <w:style w:type="paragraph" w:styleId="908">
    <w:name w:val="toc 8"/>
    <w:basedOn w:val="912"/>
    <w:next w:val="912"/>
    <w:uiPriority w:val="39"/>
    <w:unhideWhenUsed/>
    <w:pPr>
      <w:ind w:left="1984" w:right="0" w:firstLine="0"/>
      <w:spacing w:after="57"/>
    </w:pPr>
  </w:style>
  <w:style w:type="paragraph" w:styleId="909">
    <w:name w:val="toc 9"/>
    <w:basedOn w:val="912"/>
    <w:next w:val="912"/>
    <w:uiPriority w:val="39"/>
    <w:unhideWhenUsed/>
    <w:pPr>
      <w:ind w:left="2268" w:right="0" w:firstLine="0"/>
      <w:spacing w:after="57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next w:val="912"/>
    <w:link w:val="912"/>
    <w:qFormat/>
    <w:rPr>
      <w:sz w:val="28"/>
      <w:lang w:val="ru-RU" w:eastAsia="ru-RU" w:bidi="ar-SA"/>
    </w:rPr>
  </w:style>
  <w:style w:type="character" w:styleId="913">
    <w:name w:val="Основной шрифт абзаца"/>
    <w:next w:val="913"/>
    <w:link w:val="912"/>
    <w:semiHidden/>
  </w:style>
  <w:style w:type="table" w:styleId="914">
    <w:name w:val="Обычная таблица"/>
    <w:next w:val="914"/>
    <w:link w:val="912"/>
    <w:semiHidden/>
    <w:tblPr/>
  </w:style>
  <w:style w:type="numbering" w:styleId="915">
    <w:name w:val="Нет списка"/>
    <w:next w:val="915"/>
    <w:link w:val="912"/>
    <w:uiPriority w:val="99"/>
    <w:semiHidden/>
  </w:style>
  <w:style w:type="paragraph" w:styleId="916">
    <w:name w:val="Знак"/>
    <w:basedOn w:val="912"/>
    <w:next w:val="916"/>
    <w:link w:val="912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7">
    <w:name w:val="Основной текст, Знак, Знак1 Знак,Основной текст1,bt,Основной текст Знак,Знак1 Знак"/>
    <w:basedOn w:val="912"/>
    <w:next w:val="917"/>
    <w:link w:val="918"/>
    <w:pPr>
      <w:jc w:val="both"/>
    </w:pPr>
  </w:style>
  <w:style w:type="character" w:styleId="918">
    <w:name w:val="Основной текст Знак1, Знак Знак, Знак1 Знак Знак,Основной текст1 Знак,bt Знак,Основной текст Знак Знак,Знак1 Знак Знак,Знак Знак"/>
    <w:next w:val="918"/>
    <w:link w:val="917"/>
    <w:rPr>
      <w:sz w:val="28"/>
      <w:lang w:val="ru-RU" w:eastAsia="ru-RU" w:bidi="ar-SA"/>
    </w:rPr>
  </w:style>
  <w:style w:type="table" w:styleId="919">
    <w:name w:val="Сетка таблицы"/>
    <w:basedOn w:val="914"/>
    <w:next w:val="919"/>
    <w:link w:val="912"/>
    <w:uiPriority w:val="39"/>
    <w:tblPr/>
  </w:style>
  <w:style w:type="paragraph" w:styleId="920">
    <w:name w:val="Верхний колонтитул"/>
    <w:basedOn w:val="912"/>
    <w:next w:val="920"/>
    <w:link w:val="936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1">
    <w:name w:val="Основной текст с отступом 2"/>
    <w:basedOn w:val="912"/>
    <w:next w:val="921"/>
    <w:link w:val="912"/>
    <w:pPr>
      <w:ind w:left="283"/>
      <w:spacing w:after="120" w:line="480" w:lineRule="auto"/>
    </w:pPr>
    <w:rPr>
      <w:sz w:val="24"/>
      <w:szCs w:val="24"/>
    </w:rPr>
  </w:style>
  <w:style w:type="paragraph" w:styleId="922">
    <w:name w:val="Заголовок,Название"/>
    <w:basedOn w:val="912"/>
    <w:next w:val="922"/>
    <w:link w:val="934"/>
    <w:uiPriority w:val="10"/>
    <w:qFormat/>
    <w:pPr>
      <w:jc w:val="center"/>
    </w:pPr>
    <w:rPr>
      <w:b/>
      <w:sz w:val="24"/>
    </w:rPr>
  </w:style>
  <w:style w:type="paragraph" w:styleId="923">
    <w:name w:val="ConsNormal"/>
    <w:next w:val="923"/>
    <w:link w:val="912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4">
    <w:name w:val="Нижний колонтитул"/>
    <w:basedOn w:val="912"/>
    <w:next w:val="924"/>
    <w:link w:val="935"/>
    <w:uiPriority w:val="99"/>
    <w:pPr>
      <w:tabs>
        <w:tab w:val="center" w:pos="4677" w:leader="none"/>
        <w:tab w:val="right" w:pos="9355" w:leader="none"/>
      </w:tabs>
    </w:pPr>
  </w:style>
  <w:style w:type="character" w:styleId="925">
    <w:name w:val="Номер страницы"/>
    <w:basedOn w:val="913"/>
    <w:next w:val="925"/>
    <w:link w:val="912"/>
  </w:style>
  <w:style w:type="paragraph" w:styleId="926">
    <w:name w:val="ConsNonformat"/>
    <w:next w:val="926"/>
    <w:link w:val="912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27">
    <w:name w:val="ConsTitle"/>
    <w:next w:val="927"/>
    <w:link w:val="912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28">
    <w:name w:val="Normal1"/>
    <w:next w:val="928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29">
    <w:name w:val="ConsPlusNormal"/>
    <w:next w:val="929"/>
    <w:link w:val="97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0">
    <w:name w:val="ConsPlusNonformat"/>
    <w:next w:val="930"/>
    <w:link w:val="91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PlusTitle"/>
    <w:next w:val="931"/>
    <w:link w:val="912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2">
    <w:name w:val="Оглавление 2"/>
    <w:basedOn w:val="912"/>
    <w:next w:val="912"/>
    <w:link w:val="912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3">
    <w:name w:val=" Знак Знак1 Знак Знак"/>
    <w:basedOn w:val="912"/>
    <w:next w:val="933"/>
    <w:link w:val="91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4">
    <w:name w:val="Название Знак"/>
    <w:next w:val="934"/>
    <w:link w:val="922"/>
    <w:rPr>
      <w:b/>
      <w:sz w:val="24"/>
    </w:rPr>
  </w:style>
  <w:style w:type="character" w:styleId="935">
    <w:name w:val="Нижний колонтитул Знак"/>
    <w:next w:val="935"/>
    <w:link w:val="924"/>
    <w:uiPriority w:val="99"/>
    <w:rPr>
      <w:sz w:val="28"/>
    </w:rPr>
  </w:style>
  <w:style w:type="character" w:styleId="936">
    <w:name w:val="Верхний колонтитул Знак"/>
    <w:next w:val="936"/>
    <w:link w:val="920"/>
    <w:uiPriority w:val="99"/>
    <w:rPr>
      <w:sz w:val="28"/>
      <w:szCs w:val="28"/>
    </w:rPr>
  </w:style>
  <w:style w:type="paragraph" w:styleId="937">
    <w:name w:val="Текст выноски"/>
    <w:basedOn w:val="912"/>
    <w:next w:val="937"/>
    <w:link w:val="938"/>
    <w:rPr>
      <w:rFonts w:ascii="Tahoma" w:hAnsi="Tahoma" w:cs="Tahoma"/>
      <w:sz w:val="16"/>
      <w:szCs w:val="16"/>
    </w:rPr>
  </w:style>
  <w:style w:type="character" w:styleId="938">
    <w:name w:val="Текст выноски Знак"/>
    <w:next w:val="938"/>
    <w:link w:val="937"/>
    <w:rPr>
      <w:rFonts w:ascii="Tahoma" w:hAnsi="Tahoma" w:cs="Tahoma"/>
      <w:sz w:val="16"/>
      <w:szCs w:val="16"/>
    </w:rPr>
  </w:style>
  <w:style w:type="paragraph" w:styleId="939">
    <w:name w:val="Знак Знак1 Знак Знак"/>
    <w:basedOn w:val="912"/>
    <w:next w:val="93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0">
    <w:name w:val=" Знак Знак1 Знак Знак Знак Знак"/>
    <w:basedOn w:val="912"/>
    <w:next w:val="940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1">
    <w:name w:val=" Знак Знак1"/>
    <w:basedOn w:val="912"/>
    <w:next w:val="94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2">
    <w:name w:val=" Знак Знак1 Знак Знак Знак Знак Знак Знак Знак Знак"/>
    <w:basedOn w:val="912"/>
    <w:next w:val="942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3">
    <w:name w:val=" Знак Знак4"/>
    <w:basedOn w:val="912"/>
    <w:next w:val="943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4">
    <w:name w:val="Выделение"/>
    <w:next w:val="944"/>
    <w:link w:val="912"/>
    <w:qFormat/>
    <w:rPr>
      <w:rFonts w:cs="Times New Roman"/>
      <w:i/>
      <w:iCs/>
    </w:rPr>
  </w:style>
  <w:style w:type="paragraph" w:styleId="945">
    <w:name w:val=" Знак Знак4 Знак Знак Знак Знак1 Знак Знак Знак Знак"/>
    <w:basedOn w:val="912"/>
    <w:next w:val="94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4 Знак Знак Знак Знак"/>
    <w:basedOn w:val="912"/>
    <w:next w:val="94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 Знак Знак"/>
    <w:basedOn w:val="912"/>
    <w:next w:val="94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8">
    <w:name w:val=" Знак Знак4 Знак Знак Знак Знак1"/>
    <w:basedOn w:val="912"/>
    <w:next w:val="94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9">
    <w:name w:val=" Знак Знак5"/>
    <w:basedOn w:val="912"/>
    <w:next w:val="94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Знак Знак Знак2 Знак"/>
    <w:basedOn w:val="912"/>
    <w:next w:val="950"/>
    <w:link w:val="912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1">
    <w:name w:val="1"/>
    <w:basedOn w:val="912"/>
    <w:next w:val="95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2">
    <w:name w:val="Знак примечания"/>
    <w:next w:val="952"/>
    <w:link w:val="912"/>
    <w:uiPriority w:val="99"/>
    <w:unhideWhenUsed/>
    <w:rPr>
      <w:sz w:val="16"/>
      <w:szCs w:val="16"/>
    </w:rPr>
  </w:style>
  <w:style w:type="character" w:styleId="953">
    <w:name w:val="Основной текст (2)_"/>
    <w:next w:val="953"/>
    <w:link w:val="954"/>
    <w:rPr>
      <w:sz w:val="26"/>
      <w:szCs w:val="26"/>
      <w:shd w:val="clear" w:color="auto" w:fill="ffffff"/>
    </w:rPr>
  </w:style>
  <w:style w:type="paragraph" w:styleId="954">
    <w:name w:val="Основной текст (2)"/>
    <w:basedOn w:val="912"/>
    <w:next w:val="954"/>
    <w:link w:val="953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5">
    <w:name w:val="Абзац списка"/>
    <w:basedOn w:val="912"/>
    <w:next w:val="955"/>
    <w:link w:val="912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56">
    <w:name w:val="Текст примечания"/>
    <w:basedOn w:val="912"/>
    <w:next w:val="956"/>
    <w:link w:val="957"/>
    <w:rPr>
      <w:sz w:val="20"/>
    </w:rPr>
  </w:style>
  <w:style w:type="character" w:styleId="957">
    <w:name w:val="Текст примечания Знак"/>
    <w:basedOn w:val="913"/>
    <w:next w:val="957"/>
    <w:link w:val="956"/>
  </w:style>
  <w:style w:type="paragraph" w:styleId="958">
    <w:name w:val="Тема примечания"/>
    <w:basedOn w:val="956"/>
    <w:next w:val="956"/>
    <w:link w:val="959"/>
    <w:rPr>
      <w:b/>
      <w:bCs/>
    </w:rPr>
  </w:style>
  <w:style w:type="character" w:styleId="959">
    <w:name w:val="Тема примечания Знак"/>
    <w:next w:val="959"/>
    <w:link w:val="958"/>
    <w:rPr>
      <w:b/>
      <w:bCs/>
    </w:rPr>
  </w:style>
  <w:style w:type="numbering" w:styleId="960">
    <w:name w:val="Нет списка1"/>
    <w:next w:val="915"/>
    <w:link w:val="912"/>
    <w:uiPriority w:val="99"/>
    <w:semiHidden/>
    <w:unhideWhenUsed/>
  </w:style>
  <w:style w:type="numbering" w:styleId="961">
    <w:name w:val="Нет списка11"/>
    <w:next w:val="915"/>
    <w:link w:val="912"/>
    <w:semiHidden/>
  </w:style>
  <w:style w:type="paragraph" w:styleId="962">
    <w:name w:val="Обычный1"/>
    <w:next w:val="962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3">
    <w:name w:val="Сетка таблицы1"/>
    <w:basedOn w:val="914"/>
    <w:next w:val="919"/>
    <w:link w:val="912"/>
    <w:tblPr/>
  </w:style>
  <w:style w:type="paragraph" w:styleId="964">
    <w:name w:val="Знак Знак1"/>
    <w:basedOn w:val="912"/>
    <w:next w:val="964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5">
    <w:name w:val="Знак Знак1 Знак Знак Знак Знак"/>
    <w:basedOn w:val="912"/>
    <w:next w:val="96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6">
    <w:name w:val="Знак Знак1 Знак Знак Знак Знак Знак Знак Знак Знак"/>
    <w:basedOn w:val="912"/>
    <w:next w:val="96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7">
    <w:name w:val="Знак Знак4"/>
    <w:basedOn w:val="912"/>
    <w:next w:val="96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8">
    <w:name w:val="Знак Знак5"/>
    <w:basedOn w:val="912"/>
    <w:next w:val="96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69">
    <w:name w:val="Нет списка111"/>
    <w:next w:val="915"/>
    <w:link w:val="912"/>
    <w:uiPriority w:val="99"/>
    <w:semiHidden/>
    <w:unhideWhenUsed/>
  </w:style>
  <w:style w:type="character" w:styleId="970">
    <w:name w:val="Заголовок Знак"/>
    <w:next w:val="970"/>
    <w:link w:val="912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1">
    <w:name w:val="Нет списка2"/>
    <w:next w:val="915"/>
    <w:link w:val="912"/>
    <w:semiHidden/>
  </w:style>
  <w:style w:type="numbering" w:styleId="972">
    <w:name w:val="Нет списка12"/>
    <w:next w:val="915"/>
    <w:link w:val="912"/>
    <w:uiPriority w:val="99"/>
    <w:semiHidden/>
    <w:unhideWhenUsed/>
  </w:style>
  <w:style w:type="numbering" w:styleId="973">
    <w:name w:val="Нет списка3"/>
    <w:next w:val="915"/>
    <w:link w:val="912"/>
    <w:semiHidden/>
  </w:style>
  <w:style w:type="paragraph" w:styleId="974">
    <w:name w:val="Обычный2"/>
    <w:next w:val="974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5">
    <w:name w:val="Сетка таблицы2"/>
    <w:basedOn w:val="914"/>
    <w:next w:val="919"/>
    <w:link w:val="912"/>
    <w:tblPr/>
  </w:style>
  <w:style w:type="character" w:styleId="976">
    <w:name w:val="ConsPlusNormal Знак"/>
    <w:next w:val="976"/>
    <w:link w:val="929"/>
    <w:rPr>
      <w:rFonts w:ascii="Arial" w:hAnsi="Arial" w:cs="Arial"/>
    </w:rPr>
  </w:style>
  <w:style w:type="character" w:styleId="977">
    <w:name w:val="Гиперссылка"/>
    <w:next w:val="977"/>
    <w:link w:val="912"/>
    <w:uiPriority w:val="99"/>
    <w:unhideWhenUsed/>
    <w:rPr>
      <w:color w:val="0563c1"/>
      <w:u w:val="single"/>
    </w:rPr>
  </w:style>
  <w:style w:type="character" w:styleId="978">
    <w:name w:val="Просмотренная гиперссылка"/>
    <w:next w:val="978"/>
    <w:link w:val="912"/>
    <w:uiPriority w:val="99"/>
    <w:unhideWhenUsed/>
    <w:rPr>
      <w:color w:val="954f72"/>
      <w:u w:val="single"/>
    </w:rPr>
  </w:style>
  <w:style w:type="paragraph" w:styleId="979">
    <w:name w:val="msonormal"/>
    <w:basedOn w:val="912"/>
    <w:next w:val="979"/>
    <w:link w:val="912"/>
    <w:pPr>
      <w:spacing w:before="100" w:beforeAutospacing="1" w:after="100" w:afterAutospacing="1"/>
    </w:pPr>
    <w:rPr>
      <w:sz w:val="24"/>
      <w:szCs w:val="24"/>
    </w:rPr>
  </w:style>
  <w:style w:type="paragraph" w:styleId="980">
    <w:name w:val="font5"/>
    <w:basedOn w:val="912"/>
    <w:next w:val="980"/>
    <w:link w:val="912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1">
    <w:name w:val="xl66"/>
    <w:basedOn w:val="912"/>
    <w:next w:val="98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2">
    <w:name w:val="xl67"/>
    <w:basedOn w:val="912"/>
    <w:next w:val="982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3">
    <w:name w:val="xl68"/>
    <w:basedOn w:val="912"/>
    <w:next w:val="98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4">
    <w:name w:val="xl69"/>
    <w:basedOn w:val="912"/>
    <w:next w:val="984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5">
    <w:name w:val="xl70"/>
    <w:basedOn w:val="912"/>
    <w:next w:val="985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6">
    <w:name w:val="xl71"/>
    <w:basedOn w:val="912"/>
    <w:next w:val="98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7">
    <w:name w:val="xl72"/>
    <w:basedOn w:val="912"/>
    <w:next w:val="987"/>
    <w:link w:val="912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88">
    <w:name w:val="xl73"/>
    <w:basedOn w:val="912"/>
    <w:next w:val="988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4"/>
    <w:basedOn w:val="912"/>
    <w:next w:val="989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0">
    <w:name w:val="xl75"/>
    <w:basedOn w:val="912"/>
    <w:next w:val="99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1">
    <w:name w:val="xl76"/>
    <w:basedOn w:val="912"/>
    <w:next w:val="991"/>
    <w:link w:val="912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2">
    <w:name w:val="xl77"/>
    <w:basedOn w:val="912"/>
    <w:next w:val="99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3">
    <w:name w:val="xl78"/>
    <w:basedOn w:val="912"/>
    <w:next w:val="993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4">
    <w:name w:val="xl79"/>
    <w:basedOn w:val="912"/>
    <w:next w:val="99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5">
    <w:name w:val="xl80"/>
    <w:basedOn w:val="912"/>
    <w:next w:val="99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6">
    <w:name w:val="xl81"/>
    <w:basedOn w:val="912"/>
    <w:next w:val="99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7">
    <w:name w:val="xl82"/>
    <w:basedOn w:val="912"/>
    <w:next w:val="99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8">
    <w:name w:val="xl83"/>
    <w:basedOn w:val="912"/>
    <w:next w:val="99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4"/>
    <w:basedOn w:val="912"/>
    <w:next w:val="99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0">
    <w:name w:val="xl85"/>
    <w:basedOn w:val="912"/>
    <w:next w:val="100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6"/>
    <w:basedOn w:val="912"/>
    <w:next w:val="100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7"/>
    <w:basedOn w:val="912"/>
    <w:next w:val="100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8"/>
    <w:basedOn w:val="912"/>
    <w:next w:val="100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4">
    <w:name w:val="xl89"/>
    <w:basedOn w:val="912"/>
    <w:next w:val="1004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90"/>
    <w:basedOn w:val="912"/>
    <w:next w:val="100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6">
    <w:name w:val="xl91"/>
    <w:basedOn w:val="912"/>
    <w:next w:val="100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7">
    <w:name w:val="xl92"/>
    <w:basedOn w:val="912"/>
    <w:next w:val="100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8">
    <w:name w:val="xl93"/>
    <w:basedOn w:val="912"/>
    <w:next w:val="100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9">
    <w:name w:val="xl94"/>
    <w:basedOn w:val="912"/>
    <w:next w:val="100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5"/>
    <w:basedOn w:val="912"/>
    <w:next w:val="101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1">
    <w:name w:val="xl96"/>
    <w:basedOn w:val="912"/>
    <w:next w:val="1011"/>
    <w:link w:val="91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2">
    <w:name w:val="xl97"/>
    <w:basedOn w:val="912"/>
    <w:next w:val="1012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8"/>
    <w:basedOn w:val="912"/>
    <w:next w:val="101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4">
    <w:name w:val="xl99"/>
    <w:basedOn w:val="912"/>
    <w:next w:val="1014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5">
    <w:name w:val="xl100"/>
    <w:basedOn w:val="912"/>
    <w:next w:val="101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101"/>
    <w:basedOn w:val="912"/>
    <w:next w:val="1016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102"/>
    <w:basedOn w:val="912"/>
    <w:next w:val="101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103"/>
    <w:basedOn w:val="912"/>
    <w:next w:val="101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9">
    <w:name w:val="xl104"/>
    <w:basedOn w:val="912"/>
    <w:next w:val="101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0">
    <w:name w:val="xl105"/>
    <w:basedOn w:val="912"/>
    <w:next w:val="1020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6"/>
    <w:basedOn w:val="912"/>
    <w:next w:val="1021"/>
    <w:link w:val="91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7"/>
    <w:basedOn w:val="912"/>
    <w:next w:val="1022"/>
    <w:link w:val="912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3">
    <w:name w:val="xl108"/>
    <w:basedOn w:val="912"/>
    <w:next w:val="1023"/>
    <w:link w:val="912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4">
    <w:name w:val="xl109"/>
    <w:basedOn w:val="912"/>
    <w:next w:val="1024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10"/>
    <w:basedOn w:val="912"/>
    <w:next w:val="102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11"/>
    <w:basedOn w:val="912"/>
    <w:next w:val="102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12"/>
    <w:basedOn w:val="912"/>
    <w:next w:val="1027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8">
    <w:name w:val="xl113"/>
    <w:basedOn w:val="912"/>
    <w:next w:val="102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9">
    <w:name w:val="xl114"/>
    <w:basedOn w:val="912"/>
    <w:next w:val="1029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0">
    <w:name w:val="xl115"/>
    <w:basedOn w:val="912"/>
    <w:next w:val="1030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116"/>
    <w:basedOn w:val="912"/>
    <w:next w:val="103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2">
    <w:name w:val="xl117"/>
    <w:basedOn w:val="912"/>
    <w:next w:val="1032"/>
    <w:link w:val="912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3">
    <w:name w:val="xl118"/>
    <w:basedOn w:val="912"/>
    <w:next w:val="103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4">
    <w:name w:val="xl119"/>
    <w:basedOn w:val="912"/>
    <w:next w:val="1034"/>
    <w:link w:val="912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5">
    <w:name w:val="xl120"/>
    <w:basedOn w:val="912"/>
    <w:next w:val="1035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36">
    <w:name w:val="xl121"/>
    <w:basedOn w:val="912"/>
    <w:next w:val="103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7">
    <w:name w:val="xl122"/>
    <w:basedOn w:val="912"/>
    <w:next w:val="1037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8">
    <w:name w:val="xl123"/>
    <w:basedOn w:val="912"/>
    <w:next w:val="1038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9">
    <w:name w:val="xl124"/>
    <w:basedOn w:val="912"/>
    <w:next w:val="1039"/>
    <w:link w:val="912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0">
    <w:name w:val="xl125"/>
    <w:basedOn w:val="912"/>
    <w:next w:val="104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1">
    <w:name w:val="xl126"/>
    <w:basedOn w:val="912"/>
    <w:next w:val="1041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2">
    <w:name w:val="xl127"/>
    <w:basedOn w:val="912"/>
    <w:next w:val="104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3">
    <w:name w:val="xl128"/>
    <w:basedOn w:val="912"/>
    <w:next w:val="104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9"/>
    <w:basedOn w:val="912"/>
    <w:next w:val="104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5">
    <w:name w:val="xl130"/>
    <w:basedOn w:val="912"/>
    <w:next w:val="104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31"/>
    <w:basedOn w:val="912"/>
    <w:next w:val="104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32"/>
    <w:basedOn w:val="912"/>
    <w:next w:val="1047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33"/>
    <w:basedOn w:val="912"/>
    <w:next w:val="1048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134"/>
    <w:basedOn w:val="912"/>
    <w:next w:val="104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0">
    <w:name w:val="xl135"/>
    <w:basedOn w:val="912"/>
    <w:next w:val="105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1">
    <w:name w:val="xl136"/>
    <w:basedOn w:val="912"/>
    <w:next w:val="105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2">
    <w:name w:val="xl137"/>
    <w:basedOn w:val="912"/>
    <w:next w:val="105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8"/>
    <w:basedOn w:val="912"/>
    <w:next w:val="105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9"/>
    <w:basedOn w:val="912"/>
    <w:next w:val="105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5">
    <w:name w:val="xl140"/>
    <w:basedOn w:val="912"/>
    <w:next w:val="1055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41"/>
    <w:basedOn w:val="912"/>
    <w:next w:val="105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57">
    <w:name w:val="xl142"/>
    <w:basedOn w:val="912"/>
    <w:next w:val="1057"/>
    <w:link w:val="912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58">
    <w:name w:val="xl143"/>
    <w:basedOn w:val="912"/>
    <w:next w:val="105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9">
    <w:name w:val="xl144"/>
    <w:basedOn w:val="912"/>
    <w:next w:val="105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0">
    <w:name w:val="xl145"/>
    <w:basedOn w:val="912"/>
    <w:next w:val="106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1">
    <w:name w:val="xl146"/>
    <w:basedOn w:val="912"/>
    <w:next w:val="106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2">
    <w:name w:val="xl147"/>
    <w:basedOn w:val="912"/>
    <w:next w:val="1062"/>
    <w:link w:val="912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3">
    <w:name w:val="xl148"/>
    <w:basedOn w:val="912"/>
    <w:next w:val="1063"/>
    <w:link w:val="912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4">
    <w:name w:val="xl65"/>
    <w:basedOn w:val="912"/>
    <w:next w:val="1064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5" w:default="1">
    <w:name w:val="Default Paragraph Font"/>
    <w:uiPriority w:val="1"/>
    <w:semiHidden/>
    <w:unhideWhenUsed/>
  </w:style>
  <w:style w:type="numbering" w:styleId="1066" w:default="1">
    <w:name w:val="No List"/>
    <w:uiPriority w:val="99"/>
    <w:semiHidden/>
    <w:unhideWhenUsed/>
  </w:style>
  <w:style w:type="table" w:styleId="10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15</cp:revision>
  <dcterms:created xsi:type="dcterms:W3CDTF">2022-02-08T09:52:00Z</dcterms:created>
  <dcterms:modified xsi:type="dcterms:W3CDTF">2025-03-12T09:46:01Z</dcterms:modified>
  <cp:version>1048576</cp:version>
</cp:coreProperties>
</file>